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F322" w14:textId="7A214153" w:rsidR="00293A62" w:rsidRDefault="00494572" w:rsidP="00494572">
      <w:r>
        <w:t>Dear parents/carers,</w:t>
      </w:r>
    </w:p>
    <w:p w14:paraId="4CC02936" w14:textId="0D220208" w:rsidR="00685DC5" w:rsidRDefault="00685DC5" w:rsidP="00494572">
      <w:r>
        <w:t>I hope this letter finds you well and that you and your family are managing well in this difficult time. I would like to start by reiterating our appreciation for any support you have provided in encouraging and helping your child in accessing their mathematics work. We know that working in this way can present difficulties and concerns and hope</w:t>
      </w:r>
      <w:r w:rsidR="00E754D9">
        <w:t xml:space="preserve"> to continue to offer what support we can at this time.</w:t>
      </w:r>
    </w:p>
    <w:p w14:paraId="4063CC2E" w14:textId="3BE45482" w:rsidR="00027A76" w:rsidRDefault="00E754D9" w:rsidP="00494572">
      <w:r>
        <w:t xml:space="preserve">When lockdown began, I emailed you all five weeks’ worth of work and we are now coming to the end of this period. I have attached here the next </w:t>
      </w:r>
      <w:r w:rsidR="0080140D">
        <w:t>four</w:t>
      </w:r>
      <w:r>
        <w:t xml:space="preserve"> weeks’ worth of work taking us up to the </w:t>
      </w:r>
      <w:r w:rsidR="000C244C">
        <w:t>15/06/2020</w:t>
      </w:r>
      <w:r>
        <w:t>. More work will be released at this point when it is needed. This work follows the same structure as previously released work. Again,</w:t>
      </w:r>
      <w:r w:rsidR="00494572">
        <w:t xml:space="preserve"> we have provided the table below to structure their time and ensure that they are still able to progress. </w:t>
      </w:r>
      <w:r>
        <w:t>Similarly,</w:t>
      </w:r>
      <w:r w:rsidR="00027A76">
        <w:t xml:space="preserve"> </w:t>
      </w:r>
      <w:r w:rsidR="00C95ADC">
        <w:t>we</w:t>
      </w:r>
      <w:r w:rsidR="00027A76">
        <w:t xml:space="preserve"> have provided two pdf documents – a Task Bank and a pack of </w:t>
      </w:r>
      <w:r w:rsidR="00D62F1C">
        <w:t>E</w:t>
      </w:r>
      <w:r w:rsidR="00027A76">
        <w:t>xercise</w:t>
      </w:r>
      <w:r w:rsidR="00D62F1C">
        <w:t>s</w:t>
      </w:r>
      <w:r w:rsidR="00027A76">
        <w:t xml:space="preserve">. </w:t>
      </w:r>
      <w:r w:rsidR="00E91917">
        <w:t>We would recommend delivering this as four</w:t>
      </w:r>
      <w:r w:rsidR="00C95ADC">
        <w:t xml:space="preserve"> </w:t>
      </w:r>
      <w:r w:rsidR="00E91917">
        <w:t>hour</w:t>
      </w:r>
      <w:r w:rsidR="00C95ADC">
        <w:t>-</w:t>
      </w:r>
      <w:r w:rsidR="00E91917">
        <w:t>long sessions a week.</w:t>
      </w:r>
      <w:r w:rsidR="00027A76">
        <w:t xml:space="preserve"> We recommend that each session consists of 20 minutes working on the</w:t>
      </w:r>
      <w:r w:rsidR="00035D63">
        <w:t xml:space="preserve"> relevant</w:t>
      </w:r>
      <w:r w:rsidR="00027A76">
        <w:t xml:space="preserve"> two tasks in the Task Bank (to develop an understanding) followed by 40 minutes </w:t>
      </w:r>
      <w:r w:rsidR="00035D63">
        <w:t>working on the respective questions in the Exercise Pack (to practise and strengthen understanding).</w:t>
      </w:r>
    </w:p>
    <w:p w14:paraId="2817747F" w14:textId="1140C974" w:rsidR="00494572" w:rsidRDefault="00E754D9" w:rsidP="00494572">
      <w:r>
        <w:t>T</w:t>
      </w:r>
      <w:r w:rsidR="00E91917">
        <w:t>he website Hegarty Maths (</w:t>
      </w:r>
      <w:hyperlink r:id="rId7" w:history="1">
        <w:r w:rsidR="00E91917" w:rsidRPr="00125A2B">
          <w:rPr>
            <w:rStyle w:val="Hyperlink"/>
          </w:rPr>
          <w:t>www.hegartymaths.com</w:t>
        </w:r>
      </w:hyperlink>
      <w:r w:rsidR="00E91917">
        <w:t>)</w:t>
      </w:r>
      <w:r>
        <w:t xml:space="preserve"> is still there to support your child in the first instance if they are finding the tasks difficult. In the table below I have outlined the tasks which should support each activity. </w:t>
      </w:r>
      <w:r w:rsidR="00E91917">
        <w:t>For those students wishing to push themselves a little further</w:t>
      </w:r>
      <w:r>
        <w:t>,</w:t>
      </w:r>
      <w:r w:rsidR="00E91917">
        <w:t xml:space="preserve"> we have provided extension videos which students could attempt</w:t>
      </w:r>
      <w:r w:rsidR="00C95ADC">
        <w:t>,</w:t>
      </w:r>
      <w:r w:rsidR="00E91917">
        <w:t xml:space="preserve"> to challenge themselves. </w:t>
      </w:r>
      <w:r>
        <w:t xml:space="preserve">For these topics there are far fewer </w:t>
      </w:r>
      <w:r w:rsidR="00E91917">
        <w:t>extension video</w:t>
      </w:r>
      <w:r>
        <w:t>s</w:t>
      </w:r>
      <w:r w:rsidR="00E91917">
        <w:t xml:space="preserve">, </w:t>
      </w:r>
      <w:r>
        <w:t xml:space="preserve">so I would recommend – for those students looking for an additional challenge – using the ‘Fix Up Five’ option on Hegarty Maths which will give them questions they have previously got incorrect to practice. </w:t>
      </w:r>
      <w:r w:rsidR="00494572" w:rsidRPr="00494572">
        <w:t xml:space="preserve"> </w:t>
      </w:r>
    </w:p>
    <w:p w14:paraId="2E56E1E4" w14:textId="1ABDBD66" w:rsidR="00E754D9" w:rsidRDefault="00E754D9" w:rsidP="00494572">
      <w:r>
        <w:t>Answers for both the Task bank and the Exercise Pack will be released every Friday on the school website at the following addresses:</w:t>
      </w:r>
    </w:p>
    <w:p w14:paraId="7C17B569" w14:textId="5553F3DA" w:rsidR="00E754D9" w:rsidRDefault="00E754D9" w:rsidP="00494572">
      <w:r>
        <w:t xml:space="preserve">Year 7 - </w:t>
      </w:r>
      <w:hyperlink r:id="rId8" w:history="1">
        <w:r w:rsidRPr="008350D1">
          <w:rPr>
            <w:rStyle w:val="Hyperlink"/>
          </w:rPr>
          <w:t>https://thepolesworthschool.com/year-7-covid/</w:t>
        </w:r>
      </w:hyperlink>
      <w:r>
        <w:t xml:space="preserve"> </w:t>
      </w:r>
    </w:p>
    <w:p w14:paraId="1766E4B4" w14:textId="17EF3EE5" w:rsidR="00E754D9" w:rsidRDefault="00E754D9" w:rsidP="00494572">
      <w:r>
        <w:t xml:space="preserve">Year 8 - </w:t>
      </w:r>
      <w:hyperlink r:id="rId9" w:history="1">
        <w:r w:rsidRPr="008350D1">
          <w:rPr>
            <w:rStyle w:val="Hyperlink"/>
          </w:rPr>
          <w:t>https://thepolesworthschool.com/year-8-covid/</w:t>
        </w:r>
      </w:hyperlink>
      <w:r>
        <w:t xml:space="preserve"> </w:t>
      </w:r>
    </w:p>
    <w:p w14:paraId="14ED6A01" w14:textId="6AA929B7" w:rsidR="00C95ADC" w:rsidRDefault="00E754D9">
      <w:r>
        <w:t>In my previous email I have alerted you to the Microsoft Teams we are now using. This is an excellent facility for your child to get further support from their teachers. I would encourage them to use their Team in the first instance to get help from their teacher. Alternatively, f</w:t>
      </w:r>
      <w:r w:rsidR="00C95ADC">
        <w:t xml:space="preserve">or questions relating to the work </w:t>
      </w:r>
      <w:r>
        <w:t>you can also</w:t>
      </w:r>
      <w:r w:rsidR="00C95ADC">
        <w:t xml:space="preserve"> contact your child’s teacher directly using the below email addresses</w:t>
      </w:r>
      <w:r w:rsidR="0073029D">
        <w:t>:</w:t>
      </w:r>
    </w:p>
    <w:p w14:paraId="08CC2363" w14:textId="7E349638" w:rsidR="00C95ADC" w:rsidRDefault="00C95ADC">
      <w:r>
        <w:t xml:space="preserve">Mr Cairns </w:t>
      </w:r>
      <w:r w:rsidR="0073029D">
        <w:t>-</w:t>
      </w:r>
      <w:r>
        <w:t xml:space="preserve"> </w:t>
      </w:r>
      <w:hyperlink r:id="rId10" w:history="1">
        <w:r w:rsidR="00E754D9" w:rsidRPr="008350D1">
          <w:rPr>
            <w:rStyle w:val="Hyperlink"/>
          </w:rPr>
          <w:t>s.cairns@thepolesworthschool.com</w:t>
        </w:r>
      </w:hyperlink>
      <w:r w:rsidR="00E754D9">
        <w:t xml:space="preserve"> </w:t>
      </w:r>
    </w:p>
    <w:p w14:paraId="49C1D131" w14:textId="4CD2AD98" w:rsidR="00C95ADC" w:rsidRDefault="00C95ADC">
      <w:r>
        <w:t xml:space="preserve">Mr </w:t>
      </w:r>
      <w:proofErr w:type="spellStart"/>
      <w:r>
        <w:t>Godrich</w:t>
      </w:r>
      <w:proofErr w:type="spellEnd"/>
      <w:r>
        <w:t xml:space="preserve"> - </w:t>
      </w:r>
      <w:hyperlink r:id="rId11" w:history="1">
        <w:r w:rsidR="00E754D9" w:rsidRPr="008350D1">
          <w:rPr>
            <w:rStyle w:val="Hyperlink"/>
          </w:rPr>
          <w:t>m.godrich@thepolesworthschool.com</w:t>
        </w:r>
      </w:hyperlink>
      <w:r w:rsidR="00E754D9">
        <w:t xml:space="preserve"> </w:t>
      </w:r>
    </w:p>
    <w:p w14:paraId="0026AAAF" w14:textId="42886273" w:rsidR="00C95ADC" w:rsidRDefault="00C95ADC">
      <w:r>
        <w:t xml:space="preserve">Mrs Jones - </w:t>
      </w:r>
      <w:hyperlink r:id="rId12" w:history="1">
        <w:r w:rsidR="00E754D9" w:rsidRPr="008350D1">
          <w:rPr>
            <w:rStyle w:val="Hyperlink"/>
          </w:rPr>
          <w:t>joanne.jones@thepolesworthschool.com</w:t>
        </w:r>
      </w:hyperlink>
      <w:r w:rsidR="00E754D9">
        <w:t xml:space="preserve"> </w:t>
      </w:r>
    </w:p>
    <w:p w14:paraId="3AF48EC1" w14:textId="77C02AA8" w:rsidR="00C95ADC" w:rsidRDefault="00C95ADC">
      <w:r>
        <w:t xml:space="preserve">Miss Kelly - </w:t>
      </w:r>
      <w:hyperlink r:id="rId13" w:history="1">
        <w:r w:rsidR="00E754D9" w:rsidRPr="008350D1">
          <w:rPr>
            <w:rStyle w:val="Hyperlink"/>
          </w:rPr>
          <w:t>l.kelly@thepolesworthschool.com</w:t>
        </w:r>
      </w:hyperlink>
      <w:r w:rsidR="00E754D9">
        <w:t xml:space="preserve"> </w:t>
      </w:r>
    </w:p>
    <w:p w14:paraId="6A62708E" w14:textId="4ED33BE1" w:rsidR="00C95ADC" w:rsidRDefault="00C95ADC">
      <w:r>
        <w:t xml:space="preserve">Mrs Lala - </w:t>
      </w:r>
      <w:hyperlink r:id="rId14" w:history="1">
        <w:r w:rsidR="00E754D9" w:rsidRPr="008350D1">
          <w:rPr>
            <w:rStyle w:val="Hyperlink"/>
          </w:rPr>
          <w:t>a.lala@thepolesworthschool.com</w:t>
        </w:r>
      </w:hyperlink>
      <w:r w:rsidR="00E754D9">
        <w:t xml:space="preserve"> </w:t>
      </w:r>
    </w:p>
    <w:p w14:paraId="0E849361" w14:textId="75FA0417" w:rsidR="00C95ADC" w:rsidRDefault="00C95ADC">
      <w:r>
        <w:t xml:space="preserve">Miss La </w:t>
      </w:r>
      <w:proofErr w:type="spellStart"/>
      <w:r>
        <w:t>Piccirella</w:t>
      </w:r>
      <w:proofErr w:type="spellEnd"/>
      <w:r>
        <w:t xml:space="preserve"> - </w:t>
      </w:r>
      <w:hyperlink r:id="rId15" w:history="1">
        <w:r w:rsidR="00E754D9" w:rsidRPr="008350D1">
          <w:rPr>
            <w:rStyle w:val="Hyperlink"/>
          </w:rPr>
          <w:t>k.lapiccirella@thepolesworthschool.com</w:t>
        </w:r>
      </w:hyperlink>
      <w:r w:rsidR="00E754D9">
        <w:t xml:space="preserve"> </w:t>
      </w:r>
    </w:p>
    <w:p w14:paraId="54C67E8C" w14:textId="1E0F034B" w:rsidR="00C95ADC" w:rsidRDefault="00C95ADC">
      <w:r>
        <w:lastRenderedPageBreak/>
        <w:t xml:space="preserve">Mr Newell - </w:t>
      </w:r>
      <w:hyperlink r:id="rId16" w:history="1">
        <w:r w:rsidR="00E754D9" w:rsidRPr="008350D1">
          <w:rPr>
            <w:rStyle w:val="Hyperlink"/>
          </w:rPr>
          <w:t>a.newell@thepolesworthschool.com</w:t>
        </w:r>
      </w:hyperlink>
      <w:r w:rsidR="00E754D9">
        <w:t xml:space="preserve"> </w:t>
      </w:r>
    </w:p>
    <w:p w14:paraId="7562D640" w14:textId="6471B751" w:rsidR="00C95ADC" w:rsidRDefault="00C95ADC">
      <w:r>
        <w:t xml:space="preserve">Miss Phipps - </w:t>
      </w:r>
      <w:hyperlink r:id="rId17" w:history="1">
        <w:r w:rsidR="00E754D9" w:rsidRPr="008350D1">
          <w:rPr>
            <w:rStyle w:val="Hyperlink"/>
          </w:rPr>
          <w:t>e.phipps@thepolesworthschool.com</w:t>
        </w:r>
      </w:hyperlink>
      <w:r w:rsidR="00E754D9">
        <w:t xml:space="preserve">  </w:t>
      </w:r>
    </w:p>
    <w:p w14:paraId="7D4DD194" w14:textId="79918DFB" w:rsidR="00C95ADC" w:rsidRDefault="00C95ADC">
      <w:r>
        <w:t xml:space="preserve">Mr Thomas - </w:t>
      </w:r>
      <w:hyperlink r:id="rId18" w:history="1">
        <w:r w:rsidR="00E754D9" w:rsidRPr="008350D1">
          <w:rPr>
            <w:rStyle w:val="Hyperlink"/>
          </w:rPr>
          <w:t>g.thomas@thepolesworthschool.com</w:t>
        </w:r>
      </w:hyperlink>
      <w:r w:rsidR="00E754D9">
        <w:t xml:space="preserve"> </w:t>
      </w:r>
    </w:p>
    <w:p w14:paraId="7ACB4541" w14:textId="27B97A07" w:rsidR="00C95ADC" w:rsidRDefault="00C95ADC">
      <w:r>
        <w:t xml:space="preserve">If your child is taught by Mrs Williams, please contact Mr Thomas with any queries. </w:t>
      </w:r>
    </w:p>
    <w:p w14:paraId="4A440126" w14:textId="2DECF96E" w:rsidR="0073029D" w:rsidRDefault="0073029D" w:rsidP="0073029D">
      <w:r>
        <w:t xml:space="preserve">If you have any further questions, please feel free to contact me directly. Many thanks for your ongoing support. </w:t>
      </w:r>
    </w:p>
    <w:p w14:paraId="7729B6A4" w14:textId="503C6FFA" w:rsidR="0073029D" w:rsidRDefault="0073029D" w:rsidP="0073029D">
      <w:r>
        <w:t>Kind regards,</w:t>
      </w:r>
    </w:p>
    <w:p w14:paraId="3D20C5EA" w14:textId="588D0757" w:rsidR="0073029D" w:rsidRDefault="0073029D" w:rsidP="0073029D">
      <w:r>
        <w:t>G Thomas</w:t>
      </w:r>
    </w:p>
    <w:p w14:paraId="355F7424" w14:textId="7C7998E6" w:rsidR="0073029D" w:rsidRDefault="0073029D" w:rsidP="0073029D">
      <w:r>
        <w:t>g.thomas@thepolesworthschool.com</w:t>
      </w:r>
    </w:p>
    <w:p w14:paraId="7A0DC9BB" w14:textId="3DB4EA49" w:rsidR="0073029D" w:rsidRDefault="0073029D" w:rsidP="0073029D">
      <w:r>
        <w:t>Key Stage Manager</w:t>
      </w:r>
    </w:p>
    <w:p w14:paraId="09D44AB6" w14:textId="24260B20" w:rsidR="008E73C0" w:rsidRDefault="008E73C0" w:rsidP="0073029D"/>
    <w:p w14:paraId="62857F73" w14:textId="77777777" w:rsidR="008E73C0" w:rsidRDefault="008E73C0" w:rsidP="0073029D"/>
    <w:tbl>
      <w:tblPr>
        <w:tblpPr w:leftFromText="180" w:rightFromText="180" w:vertAnchor="page" w:horzAnchor="margin" w:tblpY="1451"/>
        <w:tblW w:w="14074" w:type="dxa"/>
        <w:tblLook w:val="04A0" w:firstRow="1" w:lastRow="0" w:firstColumn="1" w:lastColumn="0" w:noHBand="0" w:noVBand="1"/>
      </w:tblPr>
      <w:tblGrid>
        <w:gridCol w:w="4820"/>
        <w:gridCol w:w="4819"/>
        <w:gridCol w:w="1701"/>
        <w:gridCol w:w="2734"/>
      </w:tblGrid>
      <w:tr w:rsidR="00E754D9" w:rsidRPr="00E91917" w14:paraId="0CAB9163" w14:textId="77777777" w:rsidTr="008E73C0">
        <w:trPr>
          <w:trHeight w:val="295"/>
        </w:trPr>
        <w:tc>
          <w:tcPr>
            <w:tcW w:w="4820" w:type="dxa"/>
            <w:tcBorders>
              <w:top w:val="nil"/>
              <w:left w:val="nil"/>
              <w:bottom w:val="single" w:sz="18" w:space="0" w:color="auto"/>
              <w:right w:val="single" w:sz="18" w:space="0" w:color="auto"/>
            </w:tcBorders>
            <w:shd w:val="clear" w:color="auto" w:fill="auto"/>
            <w:noWrap/>
            <w:vAlign w:val="bottom"/>
            <w:hideMark/>
          </w:tcPr>
          <w:p w14:paraId="44A392FD" w14:textId="77777777" w:rsidR="00E754D9" w:rsidRPr="00E91917" w:rsidRDefault="00E754D9" w:rsidP="008E73C0">
            <w:pPr>
              <w:spacing w:after="0" w:line="240" w:lineRule="auto"/>
              <w:rPr>
                <w:rFonts w:ascii="Times New Roman" w:eastAsia="Times New Roman" w:hAnsi="Times New Roman" w:cs="Times New Roman"/>
                <w:sz w:val="24"/>
                <w:szCs w:val="24"/>
                <w:lang w:eastAsia="en-GB"/>
              </w:rPr>
            </w:pPr>
          </w:p>
        </w:tc>
        <w:tc>
          <w:tcPr>
            <w:tcW w:w="481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hideMark/>
          </w:tcPr>
          <w:p w14:paraId="524AD40B" w14:textId="77777777" w:rsidR="00E754D9" w:rsidRPr="00E91917" w:rsidRDefault="00E754D9" w:rsidP="008E73C0">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Session title</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hideMark/>
          </w:tcPr>
          <w:p w14:paraId="1BB58590" w14:textId="77777777" w:rsidR="00E754D9" w:rsidRPr="00E91917" w:rsidRDefault="00E754D9" w:rsidP="008E73C0">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Hegarty Code</w:t>
            </w:r>
          </w:p>
        </w:tc>
        <w:tc>
          <w:tcPr>
            <w:tcW w:w="27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hideMark/>
          </w:tcPr>
          <w:p w14:paraId="1DD19771" w14:textId="77777777" w:rsidR="00E754D9" w:rsidRPr="00E91917" w:rsidRDefault="00E754D9" w:rsidP="008E73C0">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Extension Hegarty Code</w:t>
            </w:r>
          </w:p>
        </w:tc>
      </w:tr>
      <w:tr w:rsidR="00E754D9" w:rsidRPr="00E91917" w14:paraId="12EB9132" w14:textId="77777777" w:rsidTr="008E73C0">
        <w:trPr>
          <w:trHeight w:val="283"/>
        </w:trPr>
        <w:tc>
          <w:tcPr>
            <w:tcW w:w="4820"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noWrap/>
            <w:vAlign w:val="bottom"/>
            <w:hideMark/>
          </w:tcPr>
          <w:p w14:paraId="2CF53372"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Beginning 11/05/20</w:t>
            </w:r>
            <w:r w:rsidRPr="00E91917">
              <w:rPr>
                <w:rFonts w:ascii="Calibri" w:eastAsia="Times New Roman" w:hAnsi="Calibri" w:cs="Calibri"/>
                <w:color w:val="000000"/>
                <w:lang w:eastAsia="en-GB"/>
              </w:rPr>
              <w:t xml:space="preserve">: </w:t>
            </w:r>
            <w:r>
              <w:rPr>
                <w:rFonts w:ascii="Calibri" w:eastAsia="Times New Roman" w:hAnsi="Calibri" w:cs="Calibri"/>
                <w:color w:val="000000"/>
                <w:lang w:eastAsia="en-GB"/>
              </w:rPr>
              <w:t>Fractions 2</w:t>
            </w:r>
          </w:p>
        </w:tc>
        <w:tc>
          <w:tcPr>
            <w:tcW w:w="4819"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55C363E5" w14:textId="77777777" w:rsidR="00E754D9" w:rsidRPr="00E91917" w:rsidRDefault="00E754D9" w:rsidP="008E73C0">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Comparing fractions</w:t>
            </w:r>
          </w:p>
        </w:tc>
        <w:tc>
          <w:tcPr>
            <w:tcW w:w="1701"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43DC2CF8"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60</w:t>
            </w:r>
          </w:p>
        </w:tc>
        <w:tc>
          <w:tcPr>
            <w:tcW w:w="2734" w:type="dxa"/>
            <w:tcBorders>
              <w:top w:val="single" w:sz="18" w:space="0" w:color="auto"/>
              <w:left w:val="single" w:sz="18" w:space="0" w:color="auto"/>
              <w:bottom w:val="single" w:sz="4" w:space="0" w:color="auto"/>
              <w:right w:val="single" w:sz="18" w:space="0" w:color="auto"/>
            </w:tcBorders>
            <w:shd w:val="clear" w:color="auto" w:fill="auto"/>
            <w:noWrap/>
            <w:vAlign w:val="bottom"/>
          </w:tcPr>
          <w:p w14:paraId="70B60BB2"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E754D9" w:rsidRPr="00E91917" w14:paraId="579DB9FC"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722DE36F"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657B02F9" w14:textId="77777777" w:rsidR="00E754D9" w:rsidRPr="00E91917" w:rsidRDefault="00E754D9" w:rsidP="008E73C0">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Common denominators</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3B2DE8CB"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34, 59</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6B488185"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E754D9" w:rsidRPr="00E91917" w14:paraId="4E74BA65"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58F4DD53"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44DB9EC1" w14:textId="77777777" w:rsidR="00E754D9" w:rsidRPr="00E91917" w:rsidRDefault="00E754D9" w:rsidP="008E73C0">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Decimal fractions</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386637A4"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58</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44716D23"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E754D9" w:rsidRPr="00E91917" w14:paraId="3BB5DE51" w14:textId="77777777" w:rsidTr="008E73C0">
        <w:trPr>
          <w:trHeight w:val="295"/>
        </w:trPr>
        <w:tc>
          <w:tcPr>
            <w:tcW w:w="4820" w:type="dxa"/>
            <w:tcBorders>
              <w:top w:val="nil"/>
              <w:left w:val="single" w:sz="18" w:space="0" w:color="auto"/>
              <w:bottom w:val="single" w:sz="8" w:space="0" w:color="auto"/>
              <w:right w:val="single" w:sz="18" w:space="0" w:color="auto"/>
            </w:tcBorders>
            <w:shd w:val="clear" w:color="auto" w:fill="D9D9D9" w:themeFill="background1" w:themeFillShade="D9"/>
            <w:noWrap/>
            <w:vAlign w:val="bottom"/>
            <w:hideMark/>
          </w:tcPr>
          <w:p w14:paraId="6F1F96FF"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8" w:space="0" w:color="auto"/>
              <w:right w:val="single" w:sz="18" w:space="0" w:color="auto"/>
            </w:tcBorders>
            <w:shd w:val="clear" w:color="auto" w:fill="auto"/>
            <w:noWrap/>
            <w:vAlign w:val="bottom"/>
            <w:hideMark/>
          </w:tcPr>
          <w:p w14:paraId="29F09A77" w14:textId="77777777" w:rsidR="00E754D9" w:rsidRPr="00E91917" w:rsidRDefault="00E754D9" w:rsidP="008E73C0">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Mixed comparisons</w:t>
            </w:r>
          </w:p>
        </w:tc>
        <w:tc>
          <w:tcPr>
            <w:tcW w:w="1701" w:type="dxa"/>
            <w:tcBorders>
              <w:top w:val="nil"/>
              <w:left w:val="single" w:sz="18" w:space="0" w:color="auto"/>
              <w:bottom w:val="single" w:sz="8" w:space="0" w:color="auto"/>
              <w:right w:val="single" w:sz="18" w:space="0" w:color="auto"/>
            </w:tcBorders>
            <w:shd w:val="clear" w:color="auto" w:fill="auto"/>
            <w:noWrap/>
            <w:vAlign w:val="bottom"/>
          </w:tcPr>
          <w:p w14:paraId="0E629B61"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46, 52</w:t>
            </w:r>
          </w:p>
        </w:tc>
        <w:tc>
          <w:tcPr>
            <w:tcW w:w="2734" w:type="dxa"/>
            <w:tcBorders>
              <w:top w:val="nil"/>
              <w:left w:val="single" w:sz="18" w:space="0" w:color="auto"/>
              <w:bottom w:val="single" w:sz="8" w:space="0" w:color="auto"/>
              <w:right w:val="single" w:sz="18" w:space="0" w:color="auto"/>
            </w:tcBorders>
            <w:shd w:val="clear" w:color="auto" w:fill="auto"/>
            <w:noWrap/>
            <w:vAlign w:val="bottom"/>
          </w:tcPr>
          <w:p w14:paraId="77EF8B09"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53, 53</w:t>
            </w:r>
          </w:p>
        </w:tc>
      </w:tr>
      <w:tr w:rsidR="00E754D9" w:rsidRPr="00E91917" w14:paraId="20B852F8"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4B1EA19E"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Beginning 18/05/20</w:t>
            </w:r>
            <w:r w:rsidRPr="00E91917">
              <w:rPr>
                <w:rFonts w:ascii="Calibri" w:eastAsia="Times New Roman" w:hAnsi="Calibri" w:cs="Calibri"/>
                <w:color w:val="000000"/>
                <w:lang w:eastAsia="en-GB"/>
              </w:rPr>
              <w:t xml:space="preserve">: </w:t>
            </w:r>
            <w:r>
              <w:rPr>
                <w:rFonts w:ascii="Calibri" w:eastAsia="Times New Roman" w:hAnsi="Calibri" w:cs="Calibri"/>
                <w:color w:val="000000"/>
                <w:lang w:eastAsia="en-GB"/>
              </w:rPr>
              <w:t>Fractions 3</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712AFC38" w14:textId="77777777" w:rsidR="00E754D9" w:rsidRPr="00E91917" w:rsidRDefault="00E754D9" w:rsidP="008E73C0">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Modelling multiplication I</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191AD7AC"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58, 77</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35D0A78B"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E754D9" w:rsidRPr="00E91917" w14:paraId="0E219A94"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5A53B4E8"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585006B1" w14:textId="77777777" w:rsidR="00E754D9" w:rsidRPr="00E91917" w:rsidRDefault="00E754D9" w:rsidP="008E73C0">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Modelling multiplication II</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111D890C"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351F558C"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71</w:t>
            </w:r>
          </w:p>
        </w:tc>
      </w:tr>
      <w:tr w:rsidR="00E754D9" w:rsidRPr="00E91917" w14:paraId="4615C367"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3A33D484"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716CA0FE" w14:textId="77777777" w:rsidR="00E754D9" w:rsidRPr="00E91917" w:rsidRDefault="00E754D9" w:rsidP="008E73C0">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Multiplying </w:t>
            </w:r>
            <w:proofErr w:type="gramStart"/>
            <w:r>
              <w:rPr>
                <w:rFonts w:ascii="Calibri" w:eastAsia="Times New Roman" w:hAnsi="Calibri" w:cs="Calibri"/>
                <w:color w:val="000000"/>
                <w:lang w:eastAsia="en-GB"/>
              </w:rPr>
              <w:t>fractions</w:t>
            </w:r>
            <w:proofErr w:type="gramEnd"/>
            <w:r>
              <w:rPr>
                <w:rFonts w:ascii="Calibri" w:eastAsia="Times New Roman" w:hAnsi="Calibri" w:cs="Calibri"/>
                <w:color w:val="000000"/>
                <w:lang w:eastAsia="en-GB"/>
              </w:rPr>
              <w:t xml:space="preserve"> I</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6F6936B1"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68</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32641F69"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E754D9" w:rsidRPr="00E91917" w14:paraId="4F2BA13F" w14:textId="77777777" w:rsidTr="008E73C0">
        <w:trPr>
          <w:trHeight w:val="295"/>
        </w:trPr>
        <w:tc>
          <w:tcPr>
            <w:tcW w:w="4820" w:type="dxa"/>
            <w:tcBorders>
              <w:top w:val="single" w:sz="4" w:space="0" w:color="auto"/>
              <w:left w:val="single" w:sz="18" w:space="0" w:color="auto"/>
              <w:bottom w:val="single" w:sz="12" w:space="0" w:color="auto"/>
              <w:right w:val="single" w:sz="18" w:space="0" w:color="auto"/>
            </w:tcBorders>
            <w:shd w:val="clear" w:color="auto" w:fill="D9D9D9" w:themeFill="background1" w:themeFillShade="D9"/>
            <w:noWrap/>
            <w:vAlign w:val="bottom"/>
            <w:hideMark/>
          </w:tcPr>
          <w:p w14:paraId="4BF63277" w14:textId="77777777" w:rsidR="00E754D9" w:rsidRPr="00E91917" w:rsidRDefault="00E754D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single" w:sz="4" w:space="0" w:color="auto"/>
              <w:left w:val="single" w:sz="18" w:space="0" w:color="auto"/>
              <w:bottom w:val="single" w:sz="12" w:space="0" w:color="auto"/>
              <w:right w:val="single" w:sz="18" w:space="0" w:color="auto"/>
            </w:tcBorders>
            <w:shd w:val="clear" w:color="auto" w:fill="auto"/>
            <w:noWrap/>
            <w:vAlign w:val="bottom"/>
            <w:hideMark/>
          </w:tcPr>
          <w:p w14:paraId="3EFAD639" w14:textId="77777777" w:rsidR="00E754D9" w:rsidRPr="00E91917" w:rsidRDefault="00E754D9" w:rsidP="008E73C0">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Multiplying fractions II</w:t>
            </w:r>
          </w:p>
        </w:tc>
        <w:tc>
          <w:tcPr>
            <w:tcW w:w="1701" w:type="dxa"/>
            <w:tcBorders>
              <w:top w:val="single" w:sz="4" w:space="0" w:color="auto"/>
              <w:left w:val="single" w:sz="18" w:space="0" w:color="auto"/>
              <w:bottom w:val="single" w:sz="12" w:space="0" w:color="auto"/>
              <w:right w:val="single" w:sz="18" w:space="0" w:color="auto"/>
            </w:tcBorders>
            <w:shd w:val="clear" w:color="auto" w:fill="auto"/>
            <w:noWrap/>
            <w:vAlign w:val="bottom"/>
          </w:tcPr>
          <w:p w14:paraId="37F91E20"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69</w:t>
            </w:r>
          </w:p>
        </w:tc>
        <w:tc>
          <w:tcPr>
            <w:tcW w:w="2734" w:type="dxa"/>
            <w:tcBorders>
              <w:top w:val="single" w:sz="4" w:space="0" w:color="auto"/>
              <w:left w:val="single" w:sz="18" w:space="0" w:color="auto"/>
              <w:bottom w:val="single" w:sz="12" w:space="0" w:color="auto"/>
              <w:right w:val="single" w:sz="18" w:space="0" w:color="auto"/>
            </w:tcBorders>
            <w:shd w:val="clear" w:color="auto" w:fill="auto"/>
            <w:noWrap/>
            <w:vAlign w:val="bottom"/>
          </w:tcPr>
          <w:p w14:paraId="6B058E29" w14:textId="77777777" w:rsidR="00E754D9" w:rsidRPr="00E91917" w:rsidRDefault="00E754D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75AA9" w:rsidRPr="00E91917" w14:paraId="0C3E3EF6" w14:textId="77777777" w:rsidTr="008E73C0">
        <w:trPr>
          <w:trHeight w:val="283"/>
        </w:trPr>
        <w:tc>
          <w:tcPr>
            <w:tcW w:w="4820" w:type="dxa"/>
            <w:tcBorders>
              <w:top w:val="single" w:sz="12" w:space="0" w:color="auto"/>
              <w:left w:val="single" w:sz="18" w:space="0" w:color="auto"/>
              <w:bottom w:val="single" w:sz="4" w:space="0" w:color="auto"/>
              <w:right w:val="single" w:sz="18" w:space="0" w:color="auto"/>
            </w:tcBorders>
            <w:shd w:val="clear" w:color="auto" w:fill="D9D9D9" w:themeFill="background1" w:themeFillShade="D9"/>
            <w:noWrap/>
            <w:vAlign w:val="bottom"/>
            <w:hideMark/>
          </w:tcPr>
          <w:p w14:paraId="2BDEDABD" w14:textId="49DA7142" w:rsidR="00875AA9" w:rsidRPr="00E91917" w:rsidRDefault="00875AA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 xml:space="preserve">Beginning </w:t>
            </w:r>
            <w:r w:rsidR="0080140D">
              <w:rPr>
                <w:rFonts w:ascii="Calibri" w:eastAsia="Times New Roman" w:hAnsi="Calibri" w:cs="Calibri"/>
                <w:color w:val="000000"/>
                <w:lang w:eastAsia="en-GB"/>
              </w:rPr>
              <w:t>0</w:t>
            </w:r>
            <w:r>
              <w:rPr>
                <w:rFonts w:ascii="Calibri" w:eastAsia="Times New Roman" w:hAnsi="Calibri" w:cs="Calibri"/>
                <w:color w:val="000000"/>
                <w:lang w:eastAsia="en-GB"/>
              </w:rPr>
              <w:t>1/0</w:t>
            </w:r>
            <w:r w:rsidR="0080140D">
              <w:rPr>
                <w:rFonts w:ascii="Calibri" w:eastAsia="Times New Roman" w:hAnsi="Calibri" w:cs="Calibri"/>
                <w:color w:val="000000"/>
                <w:lang w:eastAsia="en-GB"/>
              </w:rPr>
              <w:t>6</w:t>
            </w:r>
            <w:r>
              <w:rPr>
                <w:rFonts w:ascii="Calibri" w:eastAsia="Times New Roman" w:hAnsi="Calibri" w:cs="Calibri"/>
                <w:color w:val="000000"/>
                <w:lang w:eastAsia="en-GB"/>
              </w:rPr>
              <w:t>/20</w:t>
            </w:r>
            <w:r w:rsidRPr="00E91917">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Fractions </w:t>
            </w:r>
            <w:r w:rsidR="0080140D">
              <w:rPr>
                <w:rFonts w:ascii="Calibri" w:eastAsia="Times New Roman" w:hAnsi="Calibri" w:cs="Calibri"/>
                <w:color w:val="000000"/>
                <w:lang w:eastAsia="en-GB"/>
              </w:rPr>
              <w:t>4</w:t>
            </w:r>
          </w:p>
        </w:tc>
        <w:tc>
          <w:tcPr>
            <w:tcW w:w="4819" w:type="dxa"/>
            <w:tcBorders>
              <w:top w:val="single" w:sz="12" w:space="0" w:color="auto"/>
              <w:left w:val="single" w:sz="18" w:space="0" w:color="auto"/>
              <w:bottom w:val="single" w:sz="4" w:space="0" w:color="auto"/>
              <w:right w:val="single" w:sz="18" w:space="0" w:color="auto"/>
            </w:tcBorders>
            <w:shd w:val="clear" w:color="auto" w:fill="auto"/>
            <w:noWrap/>
            <w:vAlign w:val="bottom"/>
            <w:hideMark/>
          </w:tcPr>
          <w:p w14:paraId="1F7A44F3" w14:textId="45B2ABC5" w:rsidR="00875AA9" w:rsidRPr="00E91917" w:rsidRDefault="00931412" w:rsidP="007518BA">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Dividing fractions by integers</w:t>
            </w:r>
          </w:p>
        </w:tc>
        <w:tc>
          <w:tcPr>
            <w:tcW w:w="1701" w:type="dxa"/>
            <w:tcBorders>
              <w:top w:val="single" w:sz="12" w:space="0" w:color="auto"/>
              <w:left w:val="single" w:sz="18" w:space="0" w:color="auto"/>
              <w:bottom w:val="single" w:sz="4" w:space="0" w:color="auto"/>
              <w:right w:val="single" w:sz="18" w:space="0" w:color="auto"/>
            </w:tcBorders>
            <w:shd w:val="clear" w:color="auto" w:fill="auto"/>
            <w:noWrap/>
            <w:vAlign w:val="bottom"/>
            <w:hideMark/>
          </w:tcPr>
          <w:p w14:paraId="30B3F246" w14:textId="311F45C7" w:rsidR="00875AA9" w:rsidRPr="00E91917" w:rsidRDefault="00503DBB"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72</w:t>
            </w:r>
          </w:p>
        </w:tc>
        <w:tc>
          <w:tcPr>
            <w:tcW w:w="2734" w:type="dxa"/>
            <w:tcBorders>
              <w:top w:val="single" w:sz="12" w:space="0" w:color="auto"/>
              <w:left w:val="single" w:sz="18" w:space="0" w:color="auto"/>
              <w:bottom w:val="single" w:sz="4" w:space="0" w:color="auto"/>
              <w:right w:val="single" w:sz="18" w:space="0" w:color="auto"/>
            </w:tcBorders>
            <w:shd w:val="clear" w:color="auto" w:fill="auto"/>
            <w:noWrap/>
            <w:vAlign w:val="bottom"/>
          </w:tcPr>
          <w:p w14:paraId="026232A9" w14:textId="77777777" w:rsidR="00875AA9" w:rsidRPr="00E91917" w:rsidRDefault="00875AA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75AA9" w:rsidRPr="00E91917" w14:paraId="5B3E5661"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4B02145F" w14:textId="77777777" w:rsidR="00875AA9" w:rsidRPr="00E91917" w:rsidRDefault="00875AA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29D46967" w14:textId="04385428" w:rsidR="00875AA9" w:rsidRPr="00E91917" w:rsidRDefault="00931412" w:rsidP="007518BA">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Modelling division </w:t>
            </w:r>
            <w:r w:rsidR="00063975">
              <w:rPr>
                <w:rFonts w:ascii="Calibri" w:eastAsia="Times New Roman" w:hAnsi="Calibri" w:cs="Calibri"/>
                <w:color w:val="000000"/>
                <w:lang w:eastAsia="en-GB"/>
              </w:rPr>
              <w:t>by fractions I</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54DC6A5C" w14:textId="4989AF47" w:rsidR="00875AA9" w:rsidRPr="00E91917" w:rsidRDefault="003F1FEE"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70</w:t>
            </w:r>
            <w:r w:rsidR="00802820">
              <w:rPr>
                <w:rFonts w:ascii="Calibri" w:eastAsia="Times New Roman" w:hAnsi="Calibri" w:cs="Calibri"/>
                <w:color w:val="000000"/>
                <w:lang w:eastAsia="en-GB"/>
              </w:rPr>
              <w:t>, 71</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26E93260" w14:textId="77777777" w:rsidR="00875AA9" w:rsidRPr="00E91917" w:rsidRDefault="00875AA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75AA9" w:rsidRPr="00E91917" w14:paraId="4B944308"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0184A859" w14:textId="77777777" w:rsidR="00875AA9" w:rsidRPr="00E91917" w:rsidRDefault="00875AA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593B2164" w14:textId="3258CDD5" w:rsidR="00875AA9" w:rsidRPr="00E91917" w:rsidRDefault="00063975" w:rsidP="007518BA">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Modelling division by fractions II</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4C7CE8F9" w14:textId="2E06EF8E" w:rsidR="00875AA9" w:rsidRPr="00E91917" w:rsidRDefault="00802820"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70, 71</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6F02701F" w14:textId="77777777" w:rsidR="00875AA9" w:rsidRPr="00E91917" w:rsidRDefault="00875AA9"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75AA9" w:rsidRPr="00E91917" w14:paraId="06B104B6" w14:textId="77777777" w:rsidTr="008E73C0">
        <w:trPr>
          <w:trHeight w:val="295"/>
        </w:trPr>
        <w:tc>
          <w:tcPr>
            <w:tcW w:w="4820" w:type="dxa"/>
            <w:tcBorders>
              <w:top w:val="nil"/>
              <w:left w:val="single" w:sz="18" w:space="0" w:color="auto"/>
              <w:bottom w:val="single" w:sz="8" w:space="0" w:color="auto"/>
              <w:right w:val="single" w:sz="18" w:space="0" w:color="auto"/>
            </w:tcBorders>
            <w:shd w:val="clear" w:color="auto" w:fill="D9D9D9" w:themeFill="background1" w:themeFillShade="D9"/>
            <w:noWrap/>
            <w:vAlign w:val="bottom"/>
            <w:hideMark/>
          </w:tcPr>
          <w:p w14:paraId="11DC67CB" w14:textId="77777777" w:rsidR="00875AA9" w:rsidRPr="00E91917" w:rsidRDefault="00875AA9" w:rsidP="008E73C0">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8" w:space="0" w:color="auto"/>
              <w:right w:val="single" w:sz="18" w:space="0" w:color="auto"/>
            </w:tcBorders>
            <w:shd w:val="clear" w:color="auto" w:fill="auto"/>
            <w:noWrap/>
            <w:vAlign w:val="bottom"/>
            <w:hideMark/>
          </w:tcPr>
          <w:p w14:paraId="4F86A113" w14:textId="18C13895" w:rsidR="00875AA9" w:rsidRPr="00E91917" w:rsidRDefault="00063975" w:rsidP="007518BA">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Fractions division in context</w:t>
            </w:r>
          </w:p>
        </w:tc>
        <w:tc>
          <w:tcPr>
            <w:tcW w:w="1701" w:type="dxa"/>
            <w:tcBorders>
              <w:top w:val="nil"/>
              <w:left w:val="single" w:sz="18" w:space="0" w:color="auto"/>
              <w:bottom w:val="single" w:sz="8" w:space="0" w:color="auto"/>
              <w:right w:val="single" w:sz="18" w:space="0" w:color="auto"/>
            </w:tcBorders>
            <w:shd w:val="clear" w:color="auto" w:fill="auto"/>
            <w:noWrap/>
            <w:vAlign w:val="bottom"/>
          </w:tcPr>
          <w:p w14:paraId="7ADE36EE" w14:textId="2096AB42" w:rsidR="00875AA9" w:rsidRPr="00E91917" w:rsidRDefault="002B3570"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2734" w:type="dxa"/>
            <w:tcBorders>
              <w:top w:val="nil"/>
              <w:left w:val="single" w:sz="18" w:space="0" w:color="auto"/>
              <w:bottom w:val="single" w:sz="8" w:space="0" w:color="auto"/>
              <w:right w:val="single" w:sz="18" w:space="0" w:color="auto"/>
            </w:tcBorders>
            <w:shd w:val="clear" w:color="auto" w:fill="auto"/>
            <w:noWrap/>
            <w:vAlign w:val="bottom"/>
          </w:tcPr>
          <w:p w14:paraId="39EE5148" w14:textId="6B258905" w:rsidR="00875AA9" w:rsidRPr="00E91917" w:rsidRDefault="005273A3" w:rsidP="008E73C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931412" w:rsidRPr="00E91917" w14:paraId="0293186D" w14:textId="77777777" w:rsidTr="00055F72">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500E6D84" w14:textId="18F9E2F5" w:rsidR="00931412" w:rsidRPr="00E91917" w:rsidRDefault="00931412" w:rsidP="00931412">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 xml:space="preserve">Beginning </w:t>
            </w:r>
            <w:r>
              <w:rPr>
                <w:rFonts w:ascii="Calibri" w:eastAsia="Times New Roman" w:hAnsi="Calibri" w:cs="Calibri"/>
                <w:color w:val="000000"/>
                <w:lang w:eastAsia="en-GB"/>
              </w:rPr>
              <w:t>0</w:t>
            </w:r>
            <w:r>
              <w:rPr>
                <w:rFonts w:ascii="Calibri" w:eastAsia="Times New Roman" w:hAnsi="Calibri" w:cs="Calibri"/>
                <w:color w:val="000000"/>
                <w:lang w:eastAsia="en-GB"/>
              </w:rPr>
              <w:t>8/0</w:t>
            </w:r>
            <w:r>
              <w:rPr>
                <w:rFonts w:ascii="Calibri" w:eastAsia="Times New Roman" w:hAnsi="Calibri" w:cs="Calibri"/>
                <w:color w:val="000000"/>
                <w:lang w:eastAsia="en-GB"/>
              </w:rPr>
              <w:t>6</w:t>
            </w:r>
            <w:r>
              <w:rPr>
                <w:rFonts w:ascii="Calibri" w:eastAsia="Times New Roman" w:hAnsi="Calibri" w:cs="Calibri"/>
                <w:color w:val="000000"/>
                <w:lang w:eastAsia="en-GB"/>
              </w:rPr>
              <w:t>/20</w:t>
            </w:r>
            <w:r w:rsidRPr="00E91917">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Fractions </w:t>
            </w:r>
            <w:r>
              <w:rPr>
                <w:rFonts w:ascii="Calibri" w:eastAsia="Times New Roman" w:hAnsi="Calibri" w:cs="Calibri"/>
                <w:color w:val="000000"/>
                <w:lang w:eastAsia="en-GB"/>
              </w:rPr>
              <w:t>5</w:t>
            </w:r>
          </w:p>
        </w:tc>
        <w:tc>
          <w:tcPr>
            <w:tcW w:w="4819" w:type="dxa"/>
            <w:tcBorders>
              <w:top w:val="single" w:sz="12" w:space="0" w:color="auto"/>
              <w:left w:val="single" w:sz="18" w:space="0" w:color="auto"/>
              <w:bottom w:val="single" w:sz="4" w:space="0" w:color="auto"/>
              <w:right w:val="single" w:sz="18" w:space="0" w:color="auto"/>
            </w:tcBorders>
            <w:shd w:val="clear" w:color="auto" w:fill="auto"/>
            <w:noWrap/>
            <w:vAlign w:val="bottom"/>
            <w:hideMark/>
          </w:tcPr>
          <w:p w14:paraId="548C5205" w14:textId="0B1C2444" w:rsidR="00931412" w:rsidRPr="00E91917" w:rsidRDefault="00931412" w:rsidP="00931412">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Adding and subtracting fractions</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26336754" w14:textId="7E3677E8" w:rsidR="00931412" w:rsidRPr="00E91917" w:rsidRDefault="0033473C"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65</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1D0FCF5E" w14:textId="77777777" w:rsidR="00931412" w:rsidRPr="00E91917" w:rsidRDefault="00931412"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931412" w:rsidRPr="00E91917" w14:paraId="305947DB"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601CC7D1" w14:textId="77777777" w:rsidR="00931412" w:rsidRPr="00E91917" w:rsidRDefault="00931412" w:rsidP="00931412">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4B2A7BF0" w14:textId="32FD18FD" w:rsidR="00931412" w:rsidRPr="00E91917" w:rsidRDefault="00931412" w:rsidP="00931412">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Different denominators</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37E17CF5" w14:textId="27130971" w:rsidR="00931412" w:rsidRPr="00E91917" w:rsidRDefault="0033473C"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66</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60838384" w14:textId="05DC7192" w:rsidR="00931412" w:rsidRPr="00E91917" w:rsidRDefault="005273A3"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931412" w:rsidRPr="00E91917" w14:paraId="7F7BF8E9" w14:textId="77777777" w:rsidTr="008E73C0">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6C265B6C" w14:textId="77777777" w:rsidR="00931412" w:rsidRPr="00E91917" w:rsidRDefault="00931412" w:rsidP="00931412">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168E2749" w14:textId="4FD153DF" w:rsidR="00931412" w:rsidRPr="00E91917" w:rsidRDefault="00931412" w:rsidP="00931412">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Using common denominators</w:t>
            </w:r>
          </w:p>
        </w:tc>
        <w:tc>
          <w:tcPr>
            <w:tcW w:w="1701" w:type="dxa"/>
            <w:tcBorders>
              <w:top w:val="nil"/>
              <w:left w:val="single" w:sz="18" w:space="0" w:color="auto"/>
              <w:bottom w:val="single" w:sz="4" w:space="0" w:color="auto"/>
              <w:right w:val="single" w:sz="18" w:space="0" w:color="auto"/>
            </w:tcBorders>
            <w:shd w:val="clear" w:color="auto" w:fill="auto"/>
            <w:noWrap/>
            <w:vAlign w:val="bottom"/>
          </w:tcPr>
          <w:p w14:paraId="6685E878" w14:textId="18C0C2FA" w:rsidR="00931412" w:rsidRPr="00E91917" w:rsidRDefault="005273A3"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66</w:t>
            </w:r>
          </w:p>
        </w:tc>
        <w:tc>
          <w:tcPr>
            <w:tcW w:w="2734" w:type="dxa"/>
            <w:tcBorders>
              <w:top w:val="nil"/>
              <w:left w:val="single" w:sz="18" w:space="0" w:color="auto"/>
              <w:bottom w:val="single" w:sz="4" w:space="0" w:color="auto"/>
              <w:right w:val="single" w:sz="18" w:space="0" w:color="auto"/>
            </w:tcBorders>
            <w:shd w:val="clear" w:color="auto" w:fill="auto"/>
            <w:noWrap/>
            <w:vAlign w:val="bottom"/>
          </w:tcPr>
          <w:p w14:paraId="3A343257" w14:textId="77777777" w:rsidR="00931412" w:rsidRPr="00E91917" w:rsidRDefault="00931412"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931412" w:rsidRPr="00E91917" w14:paraId="151C832F" w14:textId="77777777" w:rsidTr="00055F72">
        <w:trPr>
          <w:trHeight w:val="295"/>
        </w:trPr>
        <w:tc>
          <w:tcPr>
            <w:tcW w:w="4820" w:type="dxa"/>
            <w:tcBorders>
              <w:top w:val="nil"/>
              <w:left w:val="single" w:sz="18" w:space="0" w:color="auto"/>
              <w:bottom w:val="single" w:sz="18" w:space="0" w:color="auto"/>
              <w:right w:val="single" w:sz="18" w:space="0" w:color="auto"/>
            </w:tcBorders>
            <w:shd w:val="clear" w:color="auto" w:fill="D9D9D9" w:themeFill="background1" w:themeFillShade="D9"/>
            <w:noWrap/>
            <w:vAlign w:val="bottom"/>
            <w:hideMark/>
          </w:tcPr>
          <w:p w14:paraId="52090385" w14:textId="77777777" w:rsidR="00931412" w:rsidRPr="00E91917" w:rsidRDefault="00931412" w:rsidP="00931412">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8" w:space="0" w:color="auto"/>
              <w:right w:val="single" w:sz="18" w:space="0" w:color="auto"/>
            </w:tcBorders>
            <w:shd w:val="clear" w:color="auto" w:fill="auto"/>
            <w:noWrap/>
            <w:vAlign w:val="bottom"/>
            <w:hideMark/>
          </w:tcPr>
          <w:p w14:paraId="3ED8EF57" w14:textId="7CA11142" w:rsidR="00931412" w:rsidRPr="00E91917" w:rsidRDefault="00931412" w:rsidP="00931412">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Distributivity</w:t>
            </w:r>
          </w:p>
        </w:tc>
        <w:tc>
          <w:tcPr>
            <w:tcW w:w="1701" w:type="dxa"/>
            <w:tcBorders>
              <w:top w:val="nil"/>
              <w:left w:val="single" w:sz="18" w:space="0" w:color="auto"/>
              <w:bottom w:val="single" w:sz="18" w:space="0" w:color="auto"/>
              <w:right w:val="single" w:sz="18" w:space="0" w:color="auto"/>
            </w:tcBorders>
            <w:shd w:val="clear" w:color="auto" w:fill="auto"/>
            <w:noWrap/>
            <w:vAlign w:val="bottom"/>
          </w:tcPr>
          <w:p w14:paraId="2362B745" w14:textId="774FA93C" w:rsidR="00931412" w:rsidRPr="00E91917" w:rsidRDefault="005273A3"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2734" w:type="dxa"/>
            <w:tcBorders>
              <w:top w:val="nil"/>
              <w:left w:val="single" w:sz="18" w:space="0" w:color="auto"/>
              <w:bottom w:val="single" w:sz="18" w:space="0" w:color="auto"/>
              <w:right w:val="single" w:sz="18" w:space="0" w:color="auto"/>
            </w:tcBorders>
            <w:shd w:val="clear" w:color="auto" w:fill="auto"/>
            <w:noWrap/>
            <w:vAlign w:val="bottom"/>
          </w:tcPr>
          <w:p w14:paraId="1D1DA3AA" w14:textId="77777777" w:rsidR="00931412" w:rsidRPr="00E91917" w:rsidRDefault="00931412" w:rsidP="0093141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bl>
    <w:p w14:paraId="01E14E10" w14:textId="77777777" w:rsidR="00875AA9" w:rsidRDefault="00875AA9" w:rsidP="00875AA9"/>
    <w:p w14:paraId="0C52D7D9" w14:textId="77777777" w:rsidR="00494572" w:rsidRDefault="00494572" w:rsidP="00875AA9"/>
    <w:sectPr w:rsidR="00494572" w:rsidSect="0073029D">
      <w:pgSz w:w="16838" w:h="11906" w:orient="landscape"/>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E57D" w14:textId="77777777" w:rsidR="00684A4B" w:rsidRDefault="00684A4B" w:rsidP="00E91917">
      <w:pPr>
        <w:spacing w:after="0" w:line="240" w:lineRule="auto"/>
      </w:pPr>
      <w:r>
        <w:separator/>
      </w:r>
    </w:p>
  </w:endnote>
  <w:endnote w:type="continuationSeparator" w:id="0">
    <w:p w14:paraId="2889509B" w14:textId="77777777" w:rsidR="00684A4B" w:rsidRDefault="00684A4B" w:rsidP="00E9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084F" w14:textId="77777777" w:rsidR="00684A4B" w:rsidRDefault="00684A4B" w:rsidP="00E91917">
      <w:pPr>
        <w:spacing w:after="0" w:line="240" w:lineRule="auto"/>
      </w:pPr>
      <w:r>
        <w:separator/>
      </w:r>
    </w:p>
  </w:footnote>
  <w:footnote w:type="continuationSeparator" w:id="0">
    <w:p w14:paraId="2337D0CF" w14:textId="77777777" w:rsidR="00684A4B" w:rsidRDefault="00684A4B" w:rsidP="00E91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6221"/>
    <w:multiLevelType w:val="hybridMultilevel"/>
    <w:tmpl w:val="FDDEC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70EAE"/>
    <w:multiLevelType w:val="hybridMultilevel"/>
    <w:tmpl w:val="A82E8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DE3DA9"/>
    <w:multiLevelType w:val="hybridMultilevel"/>
    <w:tmpl w:val="2C88D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D2B9A"/>
    <w:multiLevelType w:val="hybridMultilevel"/>
    <w:tmpl w:val="4D74A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80F54"/>
    <w:multiLevelType w:val="hybridMultilevel"/>
    <w:tmpl w:val="63D67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E93CC5"/>
    <w:multiLevelType w:val="hybridMultilevel"/>
    <w:tmpl w:val="4D74A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BE2AF0"/>
    <w:multiLevelType w:val="hybridMultilevel"/>
    <w:tmpl w:val="2C88D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MjA3NjQ3NjM0MbVU0lEKTi0uzszPAykwqgUA2aVWPywAAAA="/>
  </w:docVars>
  <w:rsids>
    <w:rsidRoot w:val="00E91917"/>
    <w:rsid w:val="00027A76"/>
    <w:rsid w:val="00035D63"/>
    <w:rsid w:val="00063975"/>
    <w:rsid w:val="000A50B5"/>
    <w:rsid w:val="000C244C"/>
    <w:rsid w:val="00293A62"/>
    <w:rsid w:val="002B3570"/>
    <w:rsid w:val="0033473C"/>
    <w:rsid w:val="003746E8"/>
    <w:rsid w:val="003F1FEE"/>
    <w:rsid w:val="00494572"/>
    <w:rsid w:val="004D2BED"/>
    <w:rsid w:val="00503DBB"/>
    <w:rsid w:val="0050699E"/>
    <w:rsid w:val="00513BAA"/>
    <w:rsid w:val="005273A3"/>
    <w:rsid w:val="006155FE"/>
    <w:rsid w:val="00684A4B"/>
    <w:rsid w:val="00685DC5"/>
    <w:rsid w:val="0073029D"/>
    <w:rsid w:val="007518BA"/>
    <w:rsid w:val="0080140D"/>
    <w:rsid w:val="00802820"/>
    <w:rsid w:val="00875AA9"/>
    <w:rsid w:val="008E73C0"/>
    <w:rsid w:val="00931412"/>
    <w:rsid w:val="00AB7DBF"/>
    <w:rsid w:val="00C95ADC"/>
    <w:rsid w:val="00D62F1C"/>
    <w:rsid w:val="00E754D9"/>
    <w:rsid w:val="00E9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B1C"/>
  <w15:chartTrackingRefBased/>
  <w15:docId w15:val="{D2C699FB-5942-4BBD-843F-F389AB71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17"/>
    <w:pPr>
      <w:ind w:left="720"/>
      <w:contextualSpacing/>
    </w:pPr>
  </w:style>
  <w:style w:type="paragraph" w:styleId="Header">
    <w:name w:val="header"/>
    <w:basedOn w:val="Normal"/>
    <w:link w:val="HeaderChar"/>
    <w:uiPriority w:val="99"/>
    <w:unhideWhenUsed/>
    <w:rsid w:val="00E91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917"/>
  </w:style>
  <w:style w:type="paragraph" w:styleId="Footer">
    <w:name w:val="footer"/>
    <w:basedOn w:val="Normal"/>
    <w:link w:val="FooterChar"/>
    <w:uiPriority w:val="99"/>
    <w:unhideWhenUsed/>
    <w:rsid w:val="00E91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917"/>
  </w:style>
  <w:style w:type="character" w:styleId="Hyperlink">
    <w:name w:val="Hyperlink"/>
    <w:basedOn w:val="DefaultParagraphFont"/>
    <w:uiPriority w:val="99"/>
    <w:unhideWhenUsed/>
    <w:rsid w:val="00E91917"/>
    <w:rPr>
      <w:color w:val="0563C1" w:themeColor="hyperlink"/>
      <w:u w:val="single"/>
    </w:rPr>
  </w:style>
  <w:style w:type="character" w:styleId="UnresolvedMention">
    <w:name w:val="Unresolved Mention"/>
    <w:basedOn w:val="DefaultParagraphFont"/>
    <w:uiPriority w:val="99"/>
    <w:semiHidden/>
    <w:unhideWhenUsed/>
    <w:rsid w:val="00E9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4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olesworthschool.com/year-7-covid/" TargetMode="External"/><Relationship Id="rId13" Type="http://schemas.openxmlformats.org/officeDocument/2006/relationships/hyperlink" Target="mailto:l.kelly@thepolesworthschool.com" TargetMode="External"/><Relationship Id="rId18" Type="http://schemas.openxmlformats.org/officeDocument/2006/relationships/hyperlink" Target="mailto:g.thomas@thepolesworthschool.com" TargetMode="External"/><Relationship Id="rId3" Type="http://schemas.openxmlformats.org/officeDocument/2006/relationships/settings" Target="settings.xml"/><Relationship Id="rId7" Type="http://schemas.openxmlformats.org/officeDocument/2006/relationships/hyperlink" Target="http://www.hegartymaths.com" TargetMode="External"/><Relationship Id="rId12" Type="http://schemas.openxmlformats.org/officeDocument/2006/relationships/hyperlink" Target="mailto:joanne.jones@thepolesworthschool.com" TargetMode="External"/><Relationship Id="rId17" Type="http://schemas.openxmlformats.org/officeDocument/2006/relationships/hyperlink" Target="mailto:e.phipps@thepolesworthschool.com" TargetMode="External"/><Relationship Id="rId2" Type="http://schemas.openxmlformats.org/officeDocument/2006/relationships/styles" Target="styles.xml"/><Relationship Id="rId16" Type="http://schemas.openxmlformats.org/officeDocument/2006/relationships/hyperlink" Target="mailto:a.newell@thepolesworthschoo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odrich@thepolesworthschool.com" TargetMode="External"/><Relationship Id="rId5" Type="http://schemas.openxmlformats.org/officeDocument/2006/relationships/footnotes" Target="footnotes.xml"/><Relationship Id="rId15" Type="http://schemas.openxmlformats.org/officeDocument/2006/relationships/hyperlink" Target="mailto:k.lapiccirella@thepolesworthschool.com" TargetMode="External"/><Relationship Id="rId10" Type="http://schemas.openxmlformats.org/officeDocument/2006/relationships/hyperlink" Target="mailto:s.cairns@thepolesworthscho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polesworthschool.com/year-8-covid/" TargetMode="External"/><Relationship Id="rId14" Type="http://schemas.openxmlformats.org/officeDocument/2006/relationships/hyperlink" Target="mailto:a.lala@thepoleswort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Thomas</dc:creator>
  <cp:keywords/>
  <dc:description/>
  <cp:lastModifiedBy>George Thomas</cp:lastModifiedBy>
  <cp:revision>18</cp:revision>
  <dcterms:created xsi:type="dcterms:W3CDTF">2020-05-08T14:13:00Z</dcterms:created>
  <dcterms:modified xsi:type="dcterms:W3CDTF">2020-05-31T10:13:00Z</dcterms:modified>
</cp:coreProperties>
</file>